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rFonts w:ascii="Calibri" w:hAnsi="Calibri"/>
          <w:b/>
          <w:b/>
          <w:bCs/>
          <w:color w:val="FF0000"/>
        </w:rPr>
      </w:pPr>
      <w:r>
        <w:rPr>
          <w:b/>
          <w:bCs/>
          <w:color w:val="000000"/>
        </w:rPr>
        <w:t>The Meeting of Kenninghall Parish Council will be held Monday 4</w:t>
      </w:r>
      <w:r>
        <w:rPr>
          <w:b/>
          <w:bCs/>
          <w:color w:val="000000"/>
          <w:vertAlign w:val="superscript"/>
        </w:rPr>
        <w:t>th</w:t>
      </w:r>
      <w:r>
        <w:rPr>
          <w:b/>
          <w:bCs/>
          <w:color w:val="000000"/>
        </w:rPr>
        <w:t xml:space="preserve"> September 2023 at 7.30pm, at Kenninghall Village Hall. </w:t>
      </w:r>
    </w:p>
    <w:p>
      <w:pPr>
        <w:pStyle w:val="TextBody"/>
        <w:jc w:val="both"/>
        <w:rPr>
          <w:rFonts w:ascii="Calibri" w:hAnsi="Calibri"/>
          <w:b/>
          <w:b/>
          <w:bCs/>
          <w:color w:val="FF0000"/>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To agree the Minutes of the Meeting of Tuesday 4</w:t>
      </w:r>
      <w:r>
        <w:rPr>
          <w:rFonts w:eastAsia="Calibri" w:cs="Calibri"/>
          <w:b/>
          <w:color w:val="000000"/>
          <w:vertAlign w:val="superscript"/>
        </w:rPr>
        <w:t>th</w:t>
      </w:r>
      <w:r>
        <w:rPr>
          <w:rFonts w:eastAsia="Calibri" w:cs="Calibri"/>
          <w:b/>
          <w:color w:val="000000"/>
          <w:kern w:val="0"/>
          <w:sz w:val="22"/>
          <w:szCs w:val="22"/>
          <w:lang w:val="en-GB" w:eastAsia="en-GB" w:bidi="ar-SA"/>
        </w:rPr>
        <w:t xml:space="preserve">July </w:t>
      </w:r>
      <w:r>
        <w:rPr>
          <w:rFonts w:eastAsia="Calibri" w:cs="Calibri"/>
          <w:b/>
          <w:color w:val="000000"/>
        </w:rPr>
        <w:t xml:space="preserve">2023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Allotments</w:t>
      </w:r>
    </w:p>
    <w:p>
      <w:pPr>
        <w:pStyle w:val="Normal"/>
        <w:spacing w:lineRule="auto" w:line="240" w:before="0" w:after="140"/>
        <w:ind w:firstLine="720"/>
        <w:jc w:val="both"/>
        <w:rPr>
          <w:rFonts w:eastAsia="Calibri" w:cs="Calibri"/>
          <w:color w:val="000000"/>
        </w:rPr>
      </w:pPr>
      <w:r>
        <w:rPr>
          <w:rFonts w:eastAsia="Calibri" w:cs="Calibri"/>
          <w:color w:val="000000"/>
        </w:rPr>
        <w:t>(b) White Horse Public House</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(c) East Harling &amp; Kenninghall Medical Practice</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(d) Brew Daisy Coffee Van</w:t>
      </w:r>
    </w:p>
    <w:p>
      <w:pPr>
        <w:pStyle w:val="Normal"/>
        <w:spacing w:lineRule="auto" w:line="240" w:before="0" w:after="140"/>
        <w:ind w:firstLine="720"/>
        <w:jc w:val="both"/>
        <w:rPr>
          <w:rFonts w:ascii="Calibri" w:hAnsi="Calibri" w:eastAsia="Calibri" w:cs="Calibri"/>
          <w:bCs/>
          <w:color w:val="000000"/>
        </w:rPr>
      </w:pPr>
      <w:r>
        <w:rPr>
          <w:rFonts w:eastAsia="Calibri" w:cs="Calibri"/>
          <w:b w:val="false"/>
          <w:bCs/>
          <w:color w:val="000000"/>
          <w:sz w:val="22"/>
          <w:szCs w:val="22"/>
        </w:rPr>
        <w:t>(e) Parish Partnership Bid Scheme 2024/25</w:t>
      </w:r>
    </w:p>
    <w:p>
      <w:pPr>
        <w:pStyle w:val="Normal"/>
        <w:spacing w:lineRule="auto" w:line="240" w:before="0" w:after="140"/>
        <w:ind w:firstLine="72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color w:val="000000"/>
        </w:rPr>
        <w:t>(a) SAM2 – Roy Arthurton</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spacing w:lineRule="auto" w:line="240" w:before="0" w:after="140"/>
        <w:ind w:left="709" w:hanging="0"/>
        <w:jc w:val="both"/>
        <w:rPr>
          <w:rFonts w:eastAsia="Calibri" w:cs="Calibri"/>
          <w:color w:val="000000"/>
        </w:rPr>
      </w:pPr>
      <w:r>
        <w:rPr>
          <w:rFonts w:eastAsia="Calibri" w:cs="Calibri"/>
          <w:color w:val="000000"/>
        </w:rPr>
        <w:t>(c) Playing Field &amp; Village Hall Field – Brian Taylor/Kevin Edwards</w:t>
      </w:r>
    </w:p>
    <w:p>
      <w:pPr>
        <w:pStyle w:val="Normal"/>
        <w:numPr>
          <w:ilvl w:val="0"/>
          <w:numId w:val="1"/>
        </w:numPr>
        <w:spacing w:lineRule="auto" w:line="240" w:before="0" w:after="140"/>
        <w:jc w:val="both"/>
        <w:rPr/>
      </w:pPr>
      <w:r>
        <w:rPr/>
        <w:t>RoSPA report actions</w:t>
      </w:r>
    </w:p>
    <w:p>
      <w:pPr>
        <w:pStyle w:val="Normal"/>
        <w:spacing w:lineRule="auto" w:line="240" w:before="0" w:after="140"/>
        <w:ind w:left="709" w:hanging="0"/>
        <w:jc w:val="both"/>
        <w:rPr>
          <w:rFonts w:eastAsia="Calibri" w:cs="Calibri"/>
          <w:color w:val="000000"/>
        </w:rPr>
      </w:pPr>
      <w:bookmarkStart w:id="0" w:name="_Hlk99562918"/>
      <w:bookmarkEnd w:id="0"/>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t>(e) Neighbourhood Development Plan – Simon Mitchell/Daniel Myhill</w:t>
      </w:r>
    </w:p>
    <w:p>
      <w:pPr>
        <w:pStyle w:val="Normal"/>
        <w:spacing w:lineRule="auto" w:line="240" w:before="0" w:after="14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eastAsia="Calibri" w:cs="Calibri"/>
          <w:bCs/>
          <w:color w:val="000000"/>
        </w:rPr>
      </w:pPr>
      <w:r>
        <w:rPr>
          <w:rFonts w:eastAsia="Calibri" w:cs="Calibri"/>
          <w:b/>
          <w:color w:val="000000"/>
        </w:rPr>
        <w:tab/>
      </w:r>
    </w:p>
    <w:p>
      <w:pPr>
        <w:pStyle w:val="Normal"/>
        <w:spacing w:lineRule="auto" w:line="240" w:before="0" w:after="140"/>
        <w:jc w:val="both"/>
        <w:rPr>
          <w:rFonts w:eastAsia="Calibri" w:cs="Calibri"/>
          <w:b/>
          <w:b/>
          <w:color w:val="000000"/>
        </w:rPr>
      </w:pPr>
      <w:r>
        <w:rPr>
          <w:rFonts w:eastAsia="Calibri" w:cs="Calibri"/>
          <w:b/>
          <w:color w:val="000000"/>
        </w:rPr>
        <w:t>8.</w:t>
        <w:tab/>
        <w:t xml:space="preserve">Planning Matters </w:t>
      </w:r>
    </w:p>
    <w:p>
      <w:pPr>
        <w:pStyle w:val="Normal"/>
        <w:spacing w:lineRule="auto" w:line="240" w:before="0" w:after="140"/>
        <w:jc w:val="both"/>
        <w:rPr>
          <w:rFonts w:ascii="Calibri" w:hAnsi="Calibri" w:eastAsia="Calibri" w:cs="Calibri"/>
          <w:b/>
          <w:b/>
          <w:color w:val="000000"/>
        </w:rPr>
      </w:pPr>
      <w:r>
        <w:rPr>
          <w:rFonts w:eastAsia="Calibri" w:cs="Calibri"/>
          <w:b/>
          <w:color w:val="000000"/>
        </w:rPr>
        <w:tab/>
      </w:r>
      <w:r>
        <w:rPr>
          <w:rFonts w:eastAsia="Calibri" w:cs="Calibri"/>
          <w:b w:val="false"/>
          <w:bCs w:val="false"/>
          <w:color w:val="000000"/>
        </w:rPr>
        <w:t>(a) 3PL/2023/0767/O – Pear Tree Farm, Fersfield Road – 2 x single storey self build houses</w:t>
      </w:r>
    </w:p>
    <w:p>
      <w:pPr>
        <w:pStyle w:val="Normal"/>
        <w:spacing w:lineRule="auto" w:line="240" w:before="0" w:after="140"/>
        <w:ind w:left="709" w:hanging="0"/>
        <w:jc w:val="both"/>
        <w:rPr>
          <w:rFonts w:eastAsia="Calibri" w:cs="Calibri"/>
          <w:color w:val="000000"/>
        </w:rPr>
      </w:pPr>
      <w:r>
        <w:rPr>
          <w:rFonts w:eastAsia="Calibri" w:cs="Calibri"/>
          <w:color w:val="000000"/>
        </w:rPr>
        <w:t xml:space="preserve">(b)  3PL/0164/F – Wash Farm Barn, Fersfield Road – variation of condition 2 </w:t>
      </w:r>
    </w:p>
    <w:p>
      <w:pPr>
        <w:pStyle w:val="Normal"/>
        <w:spacing w:lineRule="auto" w:line="240" w:before="0" w:after="140"/>
        <w:ind w:left="709" w:hanging="0"/>
        <w:jc w:val="both"/>
        <w:rPr>
          <w:rFonts w:eastAsia="Calibri" w:cs="Calibri"/>
          <w:color w:val="000000"/>
        </w:rPr>
      </w:pPr>
      <w:r>
        <w:rPr>
          <w:rFonts w:eastAsia="Calibri" w:cs="Calibri"/>
          <w:color w:val="000000"/>
        </w:rPr>
        <w:t>(c) 3PL/2023/0016/UC – Ashtree Poultry Unit, Lopham Road – Prior approval for proposed change of use and conversion of an agricultural building to 5 residential dwellings (Use Class C3) including part demolition within Class Q of Part 3, of Schedule 2 of the Town and Planning (General Permitted Development) (England) Order 2015</w:t>
      </w:r>
    </w:p>
    <w:p>
      <w:pPr>
        <w:pStyle w:val="Normal"/>
        <w:spacing w:lineRule="auto" w:line="240" w:before="0" w:after="140"/>
        <w:ind w:left="709" w:hanging="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and sign off the following:</w:t>
      </w:r>
    </w:p>
    <w:p>
      <w:pPr>
        <w:pStyle w:val="Normal"/>
        <w:spacing w:lineRule="auto" w:line="240" w:before="0" w:after="140"/>
        <w:jc w:val="both"/>
        <w:rPr>
          <w:rFonts w:eastAsia="Calibri" w:cs="Calibri"/>
          <w:bCs/>
          <w:color w:val="000000"/>
        </w:rPr>
      </w:pPr>
      <w:r>
        <w:rPr>
          <w:rFonts w:eastAsia="Calibri" w:cs="Calibri"/>
          <w:bCs/>
          <w:color w:val="000000"/>
        </w:rPr>
        <w:tab/>
      </w:r>
      <w:r>
        <w:rPr>
          <w:rFonts w:eastAsia="Calibri" w:cs="Calibri"/>
          <w:b w:val="false"/>
          <w:bCs w:val="false"/>
          <w:color w:val="000000"/>
        </w:rPr>
        <w:t>(a) Asset Register</w:t>
      </w:r>
    </w:p>
    <w:p>
      <w:pPr>
        <w:pStyle w:val="Normal"/>
        <w:spacing w:lineRule="auto" w:line="240" w:before="0" w:after="140"/>
        <w:ind w:left="709" w:hanging="0"/>
        <w:jc w:val="both"/>
        <w:rPr>
          <w:b w:val="false"/>
          <w:b w:val="false"/>
          <w:bCs w:val="false"/>
        </w:rPr>
      </w:pPr>
      <w:r>
        <w:rPr>
          <w:rFonts w:eastAsia="Calibri" w:cs="Calibri"/>
          <w:b w:val="false"/>
          <w:bCs w:val="false"/>
          <w:color w:val="000000"/>
        </w:rPr>
        <w:t xml:space="preserve">(b) </w:t>
      </w:r>
      <w:r>
        <w:rPr>
          <w:rFonts w:eastAsia="Calibri" w:cs="Calibri"/>
          <w:b w:val="false"/>
          <w:bCs w:val="false"/>
          <w:color w:val="000000"/>
          <w:kern w:val="0"/>
          <w:sz w:val="22"/>
          <w:szCs w:val="22"/>
          <w:lang w:val="en-GB" w:eastAsia="en-GB" w:bidi="ar-SA"/>
        </w:rPr>
        <w:t>Risk Register</w:t>
      </w:r>
    </w:p>
    <w:p>
      <w:pPr>
        <w:pStyle w:val="Normal"/>
        <w:spacing w:lineRule="auto" w:line="240" w:before="0" w:after="140"/>
        <w:ind w:left="709" w:hanging="0"/>
        <w:jc w:val="both"/>
        <w:rPr>
          <w:b w:val="false"/>
          <w:b w:val="false"/>
          <w:bCs w:val="false"/>
        </w:rPr>
      </w:pPr>
      <w:r>
        <w:rPr>
          <w:rFonts w:eastAsia="Calibri" w:cs="Calibri"/>
          <w:b w:val="false"/>
          <w:bCs w:val="false"/>
          <w:color w:val="000000"/>
        </w:rPr>
        <w:t>(c) Clerk’s Monthly salary - £</w:t>
      </w:r>
      <w:r>
        <w:rPr>
          <w:rFonts w:eastAsia="Calibri" w:cs="Calibri"/>
          <w:b w:val="false"/>
          <w:bCs w:val="false"/>
          <w:color w:val="000000"/>
          <w:kern w:val="0"/>
          <w:sz w:val="22"/>
          <w:szCs w:val="22"/>
          <w:lang w:val="en-GB" w:eastAsia="en-GB" w:bidi="ar-SA"/>
        </w:rPr>
        <w:t>438.40</w:t>
      </w:r>
    </w:p>
    <w:p>
      <w:pPr>
        <w:pStyle w:val="Normal"/>
        <w:spacing w:lineRule="auto" w:line="240" w:before="0" w:after="140"/>
        <w:ind w:left="709" w:hanging="0"/>
        <w:jc w:val="both"/>
        <w:rPr>
          <w:b w:val="false"/>
          <w:b w:val="false"/>
          <w:bCs w:val="false"/>
        </w:rPr>
      </w:pPr>
      <w:r>
        <w:rPr>
          <w:rFonts w:eastAsia="Calibri" w:cs="Calibri"/>
          <w:b w:val="false"/>
          <w:bCs w:val="false"/>
          <w:color w:val="000000"/>
          <w:kern w:val="0"/>
          <w:sz w:val="22"/>
          <w:szCs w:val="22"/>
          <w:lang w:val="en-GB" w:eastAsia="en-GB" w:bidi="ar-SA"/>
        </w:rPr>
        <w:t>(d) Parish Online Subscription - £67.20</w:t>
      </w:r>
    </w:p>
    <w:p>
      <w:pPr>
        <w:pStyle w:val="Normal"/>
        <w:spacing w:lineRule="auto" w:line="240" w:before="0" w:after="140"/>
        <w:ind w:left="709" w:hanging="0"/>
        <w:jc w:val="both"/>
        <w:rPr>
          <w:b w:val="false"/>
          <w:b w:val="false"/>
          <w:bCs w:val="false"/>
        </w:rPr>
      </w:pPr>
      <w:r>
        <w:rPr>
          <w:rFonts w:eastAsia="Calibri" w:cs="Calibri"/>
          <w:b w:val="false"/>
          <w:bCs w:val="false"/>
          <w:color w:val="000000"/>
          <w:kern w:val="0"/>
          <w:sz w:val="22"/>
          <w:szCs w:val="22"/>
          <w:lang w:val="en-GB" w:eastAsia="en-GB" w:bidi="ar-SA"/>
        </w:rPr>
        <w:t xml:space="preserve">(e) NPTS Autumn Seminar - £54  </w:t>
      </w:r>
    </w:p>
    <w:p>
      <w:pPr>
        <w:pStyle w:val="Normal"/>
        <w:spacing w:lineRule="auto" w:line="240" w:before="0" w:after="140"/>
        <w:ind w:left="709" w:hanging="0"/>
        <w:jc w:val="both"/>
        <w:rPr>
          <w:b w:val="false"/>
          <w:b w:val="false"/>
          <w:bCs w:val="false"/>
        </w:rPr>
      </w:pPr>
      <w:r>
        <w:rPr>
          <w:rFonts w:eastAsia="Calibri" w:cs="Calibri"/>
          <w:b w:val="false"/>
          <w:bCs w:val="false"/>
          <w:color w:val="000000"/>
          <w:kern w:val="0"/>
          <w:sz w:val="22"/>
          <w:szCs w:val="22"/>
          <w:lang w:val="en-GB" w:eastAsia="en-GB" w:bidi="ar-SA"/>
        </w:rPr>
        <w:t xml:space="preserve">(f) To note recycling payment of £951.42 an increase of 12.5% from last year made up of </w:t>
        <w:tab/>
        <w:t xml:space="preserve"> glass recycling £659.42 and paper recycling £186.54</w:t>
      </w:r>
    </w:p>
    <w:p>
      <w:pPr>
        <w:pStyle w:val="Normal"/>
        <w:spacing w:lineRule="auto" w:line="240" w:before="0" w:after="140"/>
        <w:ind w:left="709" w:hanging="0"/>
        <w:jc w:val="both"/>
        <w:rPr>
          <w:b w:val="false"/>
          <w:b w:val="false"/>
          <w:bCs w:val="false"/>
        </w:rPr>
      </w:pPr>
      <w:r>
        <w:rPr>
          <w:rFonts w:eastAsia="Calibri" w:cs="Calibri"/>
          <w:b w:val="false"/>
          <w:bCs w:val="false"/>
          <w:color w:val="000000"/>
          <w:kern w:val="0"/>
          <w:sz w:val="22"/>
          <w:szCs w:val="22"/>
          <w:lang w:val="en-GB" w:eastAsia="en-GB" w:bidi="ar-SA"/>
        </w:rPr>
        <w:t>(g) To note payments approved during August break</w:t>
      </w:r>
    </w:p>
    <w:p>
      <w:pPr>
        <w:pStyle w:val="Normal"/>
        <w:spacing w:lineRule="auto" w:line="240" w:before="0" w:after="140"/>
        <w:jc w:val="both"/>
        <w:rPr>
          <w:b w:val="false"/>
          <w:b w:val="false"/>
          <w:bCs w:val="false"/>
        </w:rPr>
      </w:pPr>
      <w:r>
        <w:rPr>
          <w:rFonts w:eastAsia="Calibri" w:cs="Calibri"/>
          <w:b w:val="false"/>
          <w:bCs w:val="false"/>
          <w:color w:val="000000"/>
        </w:rPr>
        <w:tab/>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Correspondence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 xml:space="preserve">(a) </w:t>
      </w:r>
      <w:r>
        <w:rPr>
          <w:rFonts w:eastAsia="Calibri" w:cs="Calibri" w:ascii="Calibri;sans-serif" w:hAnsi="Calibri;sans-serif"/>
          <w:bCs/>
          <w:color w:val="000000"/>
          <w:sz w:val="22"/>
        </w:rPr>
        <w:t>Town and parish council preview sessions: Breckland’s Local Plan</w:t>
      </w:r>
      <w:r>
        <w:rPr>
          <w:rFonts w:eastAsia="Calibri" w:cs="Calibri"/>
          <w:bCs/>
          <w:color w:val="000000"/>
        </w:rPr>
        <w:t xml:space="preserve"> </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(b) Breckland Local Validation List</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(c) Norwich to Tilbury Non-statutory consultation update</w:t>
      </w:r>
    </w:p>
    <w:p>
      <w:pPr>
        <w:pStyle w:val="Normal"/>
        <w:spacing w:lineRule="auto" w:line="240" w:before="0" w:after="140"/>
        <w:jc w:val="both"/>
        <w:rPr>
          <w:rFonts w:ascii="Calibri" w:hAnsi="Calibri" w:eastAsia="Calibri" w:cs="Calibri"/>
          <w:bCs/>
          <w:color w:val="000000"/>
        </w:rPr>
      </w:pPr>
      <w:r>
        <w:rPr>
          <w:rFonts w:eastAsia="Calibri" w:cs="Calibri"/>
          <w:bCs/>
          <w:color w:val="000000"/>
        </w:rPr>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tab/>
      </w:r>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Date of next Meeting Tuesday 3</w:t>
      </w:r>
      <w:r>
        <w:rPr>
          <w:rFonts w:eastAsia="Calibri" w:cs="Calibri"/>
          <w:b/>
          <w:color w:val="000000"/>
          <w:vertAlign w:val="superscript"/>
        </w:rPr>
        <w:t>rd</w:t>
      </w:r>
      <w:r>
        <w:rPr>
          <w:rFonts w:eastAsia="Calibri" w:cs="Calibri"/>
          <w:b/>
          <w:color w:val="000000"/>
        </w:rPr>
        <w:t xml:space="preserve"> October 2023 </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Alison Pena (Clerk to KPC)</w:t>
      </w:r>
    </w:p>
    <w:sectPr>
      <w:footerReference w:type="default" r:id="rId3"/>
      <w:type w:val="nextPage"/>
      <w:pgSz w:w="11906" w:h="16838"/>
      <w:pgMar w:left="1440" w:right="1440" w:header="0" w:top="1440" w:footer="851" w:bottom="1556"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alibri">
    <w:altName w:val="sans-serif"/>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160"/>
      <w:rPr>
        <w:sz w:val="20"/>
        <w:szCs w:val="20"/>
      </w:rPr>
    </w:pPr>
    <w:r>
      <w:rPr>
        <w:sz w:val="20"/>
        <w:szCs w:val="20"/>
      </w:rPr>
      <w:t xml:space="preserve">KPC Agenda: </w:t>
    </w:r>
    <w:r>
      <w:rPr>
        <w:rFonts w:eastAsia="" w:cs="" w:cstheme="minorBidi" w:eastAsiaTheme="minorEastAsia"/>
        <w:color w:val="auto"/>
        <w:kern w:val="0"/>
        <w:sz w:val="20"/>
        <w:szCs w:val="20"/>
        <w:lang w:val="en-GB" w:eastAsia="en-GB" w:bidi="ar-SA"/>
      </w:rPr>
      <w:t>September</w:t>
    </w:r>
    <w:r>
      <w:rPr>
        <w:sz w:val="20"/>
        <w:szCs w:val="20"/>
      </w:rPr>
      <w:t xml:space="preserve"> 2023</w:t>
      <w:tab/>
    </w:r>
    <w:r>
      <w:rPr>
        <w:sz w:val="20"/>
        <w:szCs w:val="20"/>
      </w:rPr>
      <w:fldChar w:fldCharType="begin"/>
    </w:r>
    <w:r>
      <w:rPr>
        <w:sz w:val="20"/>
        <w:szCs w:val="20"/>
      </w:rPr>
      <w:instrText> PAGE </w:instrText>
    </w:r>
    <w:r>
      <w:rPr>
        <w:sz w:val="20"/>
        <w:szCs w:val="20"/>
      </w:rPr>
      <w:fldChar w:fldCharType="separate"/>
    </w:r>
    <w:r>
      <w:rPr>
        <w:sz w:val="20"/>
        <w:szCs w:val="20"/>
      </w:rPr>
      <w:t>2</w:t>
    </w:r>
    <w:r>
      <w:rPr>
        <w:sz w:val="20"/>
        <w:szCs w:val="2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2160"/>
        </w:tabs>
        <w:ind w:left="2160" w:hanging="360"/>
      </w:pPr>
      <w:rPr>
        <w:rFonts w:ascii="Symbol" w:hAnsi="Symbol" w:cs="Symbol" w:hint="default"/>
      </w:rPr>
    </w:lvl>
    <w:lvl w:ilvl="1">
      <w:start w:val="1"/>
      <w:numFmt w:val="bullet"/>
      <w:lvlText w:val="◦"/>
      <w:lvlJc w:val="left"/>
      <w:pPr>
        <w:tabs>
          <w:tab w:val="num" w:pos="2520"/>
        </w:tabs>
        <w:ind w:left="2520" w:hanging="360"/>
      </w:pPr>
      <w:rPr>
        <w:rFonts w:ascii="OpenSymbol" w:hAnsi="OpenSymbol" w:cs="OpenSymbol" w:hint="default"/>
      </w:rPr>
    </w:lvl>
    <w:lvl w:ilvl="2">
      <w:start w:val="1"/>
      <w:numFmt w:val="bullet"/>
      <w:lvlText w:val="▪"/>
      <w:lvlJc w:val="left"/>
      <w:pPr>
        <w:tabs>
          <w:tab w:val="num" w:pos="2880"/>
        </w:tabs>
        <w:ind w:left="2880" w:hanging="360"/>
      </w:pPr>
      <w:rPr>
        <w:rFonts w:ascii="OpenSymbol" w:hAnsi="OpenSymbol" w:cs="Open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3960"/>
        </w:tabs>
        <w:ind w:left="3960" w:hanging="360"/>
      </w:pPr>
      <w:rPr>
        <w:rFonts w:ascii="OpenSymbol" w:hAnsi="OpenSymbol" w:cs="OpenSymbol"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
      <w:lvlJc w:val="left"/>
      <w:pPr>
        <w:tabs>
          <w:tab w:val="num" w:pos="4680"/>
        </w:tabs>
        <w:ind w:left="4680" w:hanging="360"/>
      </w:pPr>
      <w:rPr>
        <w:rFonts w:ascii="OpenSymbol" w:hAnsi="OpenSymbol" w:cs="OpenSymbol" w:hint="default"/>
      </w:rPr>
    </w:lvl>
    <w:lvl w:ilvl="8">
      <w:start w:val="1"/>
      <w:numFmt w:val="bullet"/>
      <w:lvlText w:val="▪"/>
      <w:lvlJc w:val="left"/>
      <w:pPr>
        <w:tabs>
          <w:tab w:val="num" w:pos="5040"/>
        </w:tabs>
        <w:ind w:left="504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7594</TotalTime>
  <Application>LibreOffice/7.0.1.2$Windows_X86_64 LibreOffice_project/7cbcfc562f6eb6708b5ff7d7397325de9e764452</Application>
  <Pages>2</Pages>
  <Words>364</Words>
  <Characters>1957</Characters>
  <CharactersWithSpaces>2317</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2022-04-22T11:04:00Z</dcterms:created>
  <dc:creator>Alison Pena</dc:creator>
  <dc:description/>
  <dc:language>en-GB</dc:language>
  <cp:lastModifiedBy/>
  <cp:lastPrinted>2023-07-04T14:40:43Z</cp:lastPrinted>
  <dcterms:modified xsi:type="dcterms:W3CDTF">2023-08-31T09:41:24Z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